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7E" w:rsidRDefault="006E4D7E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8F0AFB" w:rsidTr="008F0AFB">
        <w:tc>
          <w:tcPr>
            <w:tcW w:w="1739" w:type="dxa"/>
            <w:vMerge w:val="restart"/>
            <w:shd w:val="clear" w:color="auto" w:fill="BFBFBF" w:themeFill="background1" w:themeFillShade="BF"/>
          </w:tcPr>
          <w:p w:rsidR="001C39E5" w:rsidRDefault="001C39E5" w:rsidP="00E73005">
            <w:pPr>
              <w:rPr>
                <w:b/>
                <w:bCs/>
                <w:sz w:val="32"/>
                <w:szCs w:val="32"/>
              </w:rPr>
            </w:pPr>
          </w:p>
          <w:p w:rsidR="001C39E5" w:rsidRDefault="001C39E5" w:rsidP="00E73005">
            <w:pPr>
              <w:rPr>
                <w:b/>
                <w:bCs/>
                <w:sz w:val="32"/>
                <w:szCs w:val="32"/>
              </w:rPr>
            </w:pPr>
          </w:p>
          <w:p w:rsidR="001C39E5" w:rsidRDefault="001C39E5" w:rsidP="00E73005">
            <w:pPr>
              <w:rPr>
                <w:b/>
                <w:bCs/>
                <w:sz w:val="32"/>
                <w:szCs w:val="32"/>
              </w:rPr>
            </w:pPr>
          </w:p>
          <w:p w:rsidR="001C39E5" w:rsidRDefault="001C39E5" w:rsidP="00E73005">
            <w:pPr>
              <w:rPr>
                <w:b/>
                <w:bCs/>
                <w:sz w:val="32"/>
                <w:szCs w:val="32"/>
              </w:rPr>
            </w:pPr>
          </w:p>
          <w:p w:rsidR="001C39E5" w:rsidRDefault="001C39E5" w:rsidP="00E73005">
            <w:pPr>
              <w:rPr>
                <w:b/>
                <w:bCs/>
                <w:sz w:val="32"/>
                <w:szCs w:val="32"/>
              </w:rPr>
            </w:pPr>
          </w:p>
          <w:p w:rsidR="001C39E5" w:rsidRDefault="001C39E5" w:rsidP="00E73005">
            <w:pPr>
              <w:rPr>
                <w:b/>
                <w:bCs/>
                <w:sz w:val="32"/>
                <w:szCs w:val="32"/>
              </w:rPr>
            </w:pPr>
          </w:p>
          <w:p w:rsidR="001C39E5" w:rsidRPr="006E4D7E" w:rsidRDefault="001C39E5" w:rsidP="00E7300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Design and Technology</w:t>
            </w:r>
          </w:p>
        </w:tc>
        <w:tc>
          <w:tcPr>
            <w:tcW w:w="3460" w:type="dxa"/>
          </w:tcPr>
          <w:p w:rsidR="001C39E5" w:rsidRPr="00286439" w:rsidRDefault="001C39E5" w:rsidP="00E7300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  <w:u w:val="single"/>
              </w:rPr>
            </w:pPr>
            <w:r w:rsidRPr="00286439"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 w:rsidRPr="00286439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social </w:t>
            </w:r>
            <w:r w:rsidRPr="00286439"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414" w:type="dxa"/>
          </w:tcPr>
          <w:p w:rsidR="001C39E5" w:rsidRPr="00286439" w:rsidRDefault="001C39E5" w:rsidP="00E7300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286439"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 w:rsidRPr="00286439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moral </w:t>
            </w:r>
            <w:r w:rsidRPr="00286439"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651" w:type="dxa"/>
          </w:tcPr>
          <w:p w:rsidR="001C39E5" w:rsidRPr="00286439" w:rsidRDefault="001C39E5" w:rsidP="00E7300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286439"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 w:rsidRPr="00286439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spiritual </w:t>
            </w:r>
            <w:r w:rsidRPr="00286439"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324" w:type="dxa"/>
          </w:tcPr>
          <w:p w:rsidR="001C39E5" w:rsidRPr="00286439" w:rsidRDefault="001C39E5" w:rsidP="00E730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 w:rsidRPr="00286439"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 w:rsidRPr="00286439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cultural </w:t>
            </w:r>
            <w:r w:rsidRPr="00286439"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</w:tr>
      <w:tr w:rsidR="008F0AFB" w:rsidTr="008F0AFB">
        <w:trPr>
          <w:trHeight w:val="5318"/>
        </w:trPr>
        <w:tc>
          <w:tcPr>
            <w:tcW w:w="1739" w:type="dxa"/>
            <w:vMerge/>
            <w:shd w:val="clear" w:color="auto" w:fill="BFBFBF" w:themeFill="background1" w:themeFillShade="BF"/>
          </w:tcPr>
          <w:p w:rsidR="001C39E5" w:rsidRDefault="001C39E5" w:rsidP="00E73005"/>
        </w:tc>
        <w:tc>
          <w:tcPr>
            <w:tcW w:w="3460" w:type="dxa"/>
          </w:tcPr>
          <w:p w:rsidR="001C39E5" w:rsidRDefault="001C39E5" w:rsidP="00E730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promoting safety when using equipment such as glue guns and other joining methods in a range of topics; Mechanisms, food, structure and textiles. </w:t>
            </w:r>
          </w:p>
          <w:p w:rsidR="001C39E5" w:rsidRDefault="001C39E5" w:rsidP="00E73005">
            <w:pPr>
              <w:rPr>
                <w:rFonts w:asciiTheme="majorHAnsi" w:hAnsiTheme="majorHAnsi" w:cstheme="majorHAnsi"/>
              </w:rPr>
            </w:pPr>
          </w:p>
          <w:p w:rsidR="001C39E5" w:rsidRPr="00286439" w:rsidRDefault="008F0AFB" w:rsidP="008F0A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 encouraging effective conversations t</w:t>
            </w:r>
            <w:r w:rsidR="001C39E5">
              <w:rPr>
                <w:rFonts w:asciiTheme="majorHAnsi" w:hAnsiTheme="majorHAnsi" w:cstheme="majorHAnsi"/>
              </w:rPr>
              <w:t xml:space="preserve">hrough self and peer evaluation which runs through the topic and every lesson. Children are encouraged to constantly evaluate their work and </w:t>
            </w:r>
            <w:r>
              <w:rPr>
                <w:rFonts w:asciiTheme="majorHAnsi" w:hAnsiTheme="majorHAnsi" w:cstheme="majorHAnsi"/>
              </w:rPr>
              <w:t xml:space="preserve">their peers through discussion and constructive criticism. </w:t>
            </w:r>
          </w:p>
        </w:tc>
        <w:tc>
          <w:tcPr>
            <w:tcW w:w="3414" w:type="dxa"/>
          </w:tcPr>
          <w:p w:rsidR="001C39E5" w:rsidRDefault="0089767D" w:rsidP="00E730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teaching children to consider how designs of products can be reinvented or recycled when evaluating their work. </w:t>
            </w:r>
          </w:p>
          <w:p w:rsidR="0089767D" w:rsidRDefault="0089767D" w:rsidP="00E73005">
            <w:pPr>
              <w:rPr>
                <w:rFonts w:asciiTheme="majorHAnsi" w:hAnsiTheme="majorHAnsi" w:cstheme="majorHAnsi"/>
              </w:rPr>
            </w:pPr>
          </w:p>
          <w:p w:rsidR="0089767D" w:rsidRDefault="0089767D" w:rsidP="00E730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understanding the wider impacts of the environment when designing and making new products. </w:t>
            </w:r>
          </w:p>
          <w:p w:rsidR="0089767D" w:rsidRDefault="0089767D" w:rsidP="00E73005">
            <w:pPr>
              <w:rPr>
                <w:rFonts w:asciiTheme="majorHAnsi" w:hAnsiTheme="majorHAnsi" w:cstheme="majorHAnsi"/>
              </w:rPr>
            </w:pPr>
          </w:p>
          <w:p w:rsidR="0089767D" w:rsidRDefault="0089767D" w:rsidP="00E730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encouraging sustainable thinking through the active application of the ‘6 R’s’: reinvent/rethink, refuse, reduce, reuse/repaid, recycle, replace/rebuy. </w:t>
            </w:r>
          </w:p>
          <w:p w:rsidR="0089767D" w:rsidRDefault="0089767D" w:rsidP="00E73005">
            <w:pPr>
              <w:rPr>
                <w:rFonts w:asciiTheme="majorHAnsi" w:hAnsiTheme="majorHAnsi" w:cstheme="majorHAnsi"/>
              </w:rPr>
            </w:pPr>
          </w:p>
          <w:p w:rsidR="0089767D" w:rsidRPr="00286439" w:rsidRDefault="0089767D" w:rsidP="00E730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considering their consumers use of the product and any moral dilemmas which may arise. </w:t>
            </w:r>
          </w:p>
        </w:tc>
        <w:tc>
          <w:tcPr>
            <w:tcW w:w="3651" w:type="dxa"/>
          </w:tcPr>
          <w:p w:rsidR="001C39E5" w:rsidRDefault="008F0AFB" w:rsidP="00E730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encouraging creative and innovative thinking during the design process. </w:t>
            </w:r>
          </w:p>
          <w:p w:rsidR="008F0AFB" w:rsidRDefault="008F0AFB" w:rsidP="00E73005">
            <w:pPr>
              <w:rPr>
                <w:rFonts w:asciiTheme="majorHAnsi" w:hAnsiTheme="majorHAnsi" w:cstheme="majorHAnsi"/>
              </w:rPr>
            </w:pPr>
          </w:p>
          <w:p w:rsidR="008F0AFB" w:rsidRPr="00286439" w:rsidRDefault="008F0AFB" w:rsidP="00E730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experience the awe and wonder of a useful, purposeful product. </w:t>
            </w:r>
          </w:p>
        </w:tc>
        <w:tc>
          <w:tcPr>
            <w:tcW w:w="3324" w:type="dxa"/>
          </w:tcPr>
          <w:p w:rsidR="001C39E5" w:rsidRPr="00286439" w:rsidRDefault="008F0AFB" w:rsidP="00E730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creating projects that link to our Heritage for example creating a model of Pudding Lane. </w:t>
            </w:r>
          </w:p>
        </w:tc>
      </w:tr>
    </w:tbl>
    <w:p w:rsidR="00B70E1F" w:rsidRPr="00B70E1F" w:rsidRDefault="00B70E1F" w:rsidP="00B70E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2"/>
        </w:rPr>
      </w:pPr>
    </w:p>
    <w:p w:rsidR="006E4D7E" w:rsidRDefault="006E4D7E">
      <w:bookmarkStart w:id="0" w:name="_GoBack"/>
      <w:bookmarkEnd w:id="0"/>
    </w:p>
    <w:sectPr w:rsidR="006E4D7E" w:rsidSect="006E4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D7E"/>
    <w:rsid w:val="001C39E5"/>
    <w:rsid w:val="006E4D7E"/>
    <w:rsid w:val="0089767D"/>
    <w:rsid w:val="008F0AFB"/>
    <w:rsid w:val="009276E5"/>
    <w:rsid w:val="00B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7F00"/>
  <w15:docId w15:val="{C21FB55F-3417-4626-B5DF-FBDCBE3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>Bolton Schools ICT Unit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Fairhurst</dc:creator>
  <cp:lastModifiedBy>Lauren Fairhurst</cp:lastModifiedBy>
  <cp:revision>5</cp:revision>
  <dcterms:created xsi:type="dcterms:W3CDTF">2020-09-04T06:48:00Z</dcterms:created>
  <dcterms:modified xsi:type="dcterms:W3CDTF">2020-09-08T18:33:00Z</dcterms:modified>
</cp:coreProperties>
</file>